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6F4A8DCE" w:rsidR="000738CB" w:rsidRPr="004770DD" w:rsidRDefault="00F24D6D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OR.2</w:t>
                        </w:r>
                        <w:r w:rsidR="00761BDA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Valorizzazione Territoriale</w:t>
                        </w:r>
                        <w:r w:rsidRPr="00F24D6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Programma GIAHS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RdO: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5B40A1AC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7F92244F" w:rsidR="00E41BF9" w:rsidRPr="00761BDA" w:rsidRDefault="00761BDA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  <w:t>Redazione dossier tecnico</w:t>
                        </w: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  <w:noBreakHyphen/>
                          <w:t>scientifico GIAHS e piano di gestione dinamica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52BD6B6" w14:textId="796EEE92" w:rsidR="006B5EDA" w:rsidRPr="009A25AD" w:rsidRDefault="000738CB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la Andronikos OdR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</w:t>
                        </w:r>
                        <w:r w:rsidR="00761BDA">
                          <w:rPr>
                            <w:sz w:val="20"/>
                            <w:szCs w:val="20"/>
                          </w:rPr>
                          <w:t>lativi all'Obiettivo Risultato 2 (OR2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r w:rsidR="00761BDA" w:rsidRPr="00761BDA">
                          <w:rPr>
                            <w:b/>
                            <w:sz w:val="20"/>
                            <w:szCs w:val="20"/>
                          </w:rPr>
                          <w:t>Valorizzazione Territoriale: Programma GIAHS</w:t>
                        </w:r>
                        <w:r w:rsidR="000A3FFE">
                          <w:rPr>
                            <w:sz w:val="20"/>
                            <w:szCs w:val="20"/>
                          </w:rPr>
                          <w:t>.</w:t>
                        </w:r>
                        <w:r w:rsidR="000A3FFE" w:rsidRPr="000A3FFE">
                          <w:rPr>
                            <w:rFonts w:asciiTheme="minorHAnsi" w:eastAsiaTheme="minorHAnsi" w:hAnsiTheme="minorHAnsi" w:cstheme="minorBidi"/>
                          </w:rPr>
                          <w:t xml:space="preserve"> </w:t>
                        </w:r>
                        <w:r w:rsidR="000A3FFE"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E41BF9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51EB3B33" w14:textId="77777777" w:rsidR="00761BDA" w:rsidRPr="00761BDA" w:rsidRDefault="00E41BF9" w:rsidP="00761BDA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b/>
                            <w:sz w:val="20"/>
                            <w:szCs w:val="20"/>
                          </w:rPr>
                          <w:t>“</w:t>
                        </w:r>
                        <w:r w:rsidR="00761BDA" w:rsidRPr="00761BDA">
                          <w:rPr>
                            <w:b/>
                            <w:bCs/>
                            <w:sz w:val="20"/>
                            <w:szCs w:val="20"/>
                          </w:rPr>
                          <w:t>Redazione dossier tecnico</w:t>
                        </w:r>
                        <w:r w:rsidR="00761BDA" w:rsidRPr="00761BDA">
                          <w:rPr>
                            <w:b/>
                            <w:bCs/>
                            <w:sz w:val="20"/>
                            <w:szCs w:val="20"/>
                          </w:rPr>
                          <w:noBreakHyphen/>
                          <w:t>scientifico GIAHS e piano di gestione dinamica</w:t>
                        </w:r>
                      </w:p>
                      <w:p w14:paraId="484B032C" w14:textId="77777777" w:rsidR="00761BDA" w:rsidRPr="00761BDA" w:rsidRDefault="00761BDA" w:rsidP="00761BDA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Il secondo servizio riguarda l’accompagnamento specialistico alla candidatura FAO GIAHS e alla definizione del relativo piano di gestione dinamica, e comprende:</w:t>
                        </w:r>
                      </w:p>
                      <w:p w14:paraId="00C57B31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bookmarkStart w:id="8" w:name="_GoBack"/>
                        <w:r w:rsidRPr="00761BDA">
                          <w:rPr>
                            <w:sz w:val="20"/>
                            <w:szCs w:val="20"/>
                          </w:rPr>
                          <w:t>Supporto metodologico alla costruzione del dossier GIAHS, in conformità alle linee guida FAO, con sistematizzazione delle evidenze raccolte (valori storici, paesaggistici, agro</w:t>
                        </w:r>
                        <w:r w:rsidRPr="00761BDA">
                          <w:rPr>
                            <w:sz w:val="20"/>
                            <w:szCs w:val="20"/>
                          </w:rPr>
                          <w:noBreakHyphen/>
                          <w:t>ecologici e socio</w:t>
                        </w:r>
                        <w:r w:rsidRPr="00761BDA">
                          <w:rPr>
                            <w:sz w:val="20"/>
                            <w:szCs w:val="20"/>
                          </w:rPr>
                          <w:noBreakHyphen/>
                          <w:t>economici) e redazione delle sezioni tecniche, cartografiche e narrative.</w:t>
                        </w:r>
                      </w:p>
                      <w:p w14:paraId="3313AFDD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Definizione di un Piano di gestione dinamica del sistema agricolo tradizionale del castagno, che individui obiettivi, azioni, indicatori e governance locale per la conservazione attiva del paesaggio, l’integrazione con le nuove pratiche di biocontrollo e gli sviluppi turistico</w:t>
                        </w:r>
                        <w:r w:rsidRPr="00761BDA">
                          <w:rPr>
                            <w:sz w:val="20"/>
                            <w:szCs w:val="20"/>
                          </w:rPr>
                          <w:noBreakHyphen/>
                          <w:t>culturali.</w:t>
                        </w:r>
                      </w:p>
                      <w:p w14:paraId="154E7972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Coordinamento con gli stakeholder territoriali (enti locali, associazioni di produttori, GAL, ecc.) tramite incontri tecnici e tavoli di co</w:t>
                        </w:r>
                        <w:r w:rsidRPr="00761BDA">
                          <w:rPr>
                            <w:sz w:val="20"/>
                            <w:szCs w:val="20"/>
                          </w:rPr>
                          <w:noBreakHyphen/>
                          <w:t>progettazione, al fine di assicurare l’adesione e il riconoscimento locale del modello proposto.</w:t>
                        </w:r>
                      </w:p>
                      <w:p w14:paraId="7E95C651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 xml:space="preserve">Predisposizione di materiali di sintesi (schede, mappe, infografiche) utili alla comunicazione </w:t>
                        </w:r>
                        <w:bookmarkEnd w:id="8"/>
                        <w:r w:rsidRPr="00761BDA">
                          <w:rPr>
                            <w:sz w:val="20"/>
                            <w:szCs w:val="20"/>
                          </w:rPr>
                          <w:t>istituzionale e al dialogo con la FAO.</w:t>
                        </w:r>
                      </w:p>
                      <w:p w14:paraId="52E606F3" w14:textId="77777777" w:rsidR="00761BDA" w:rsidRPr="00761BDA" w:rsidRDefault="00761BDA" w:rsidP="00761BDA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Il servizio è direttamente finalizzato al raggiungimento dell’obiettivo di OR2:</w:t>
                        </w:r>
                      </w:p>
                      <w:p w14:paraId="5DA581B3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ottenere (o avviare in modo robusto) la candidatura GIAHS;</w:t>
                        </w:r>
                      </w:p>
                      <w:p w14:paraId="316D9FAC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dotare i territori coinvolti di uno strumento di gestione condiviso che valorizzi la castanicoltura tradizionale come asset identitario, economico e di resilienza climatica.</w:t>
                        </w:r>
                      </w:p>
                      <w:p w14:paraId="65A04C9D" w14:textId="54440E73" w:rsidR="000A3FFE" w:rsidRPr="00E41BF9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37C73093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lastRenderedPageBreak/>
                          <w:t>struttura del team;</w:t>
                        </w:r>
                      </w:p>
                      <w:p w14:paraId="6F9F59B5" w14:textId="77777777" w:rsidR="00761BDA" w:rsidRPr="00761BDA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numero e tipologia di incontri con gli stakeholder;</w:t>
                        </w:r>
                      </w:p>
                      <w:p w14:paraId="2359BD29" w14:textId="4F415A95" w:rsidR="00411059" w:rsidRPr="00E41BF9" w:rsidRDefault="00761BDA" w:rsidP="00761BDA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61BDA">
                          <w:rPr>
                            <w:sz w:val="20"/>
                            <w:szCs w:val="20"/>
                          </w:rPr>
                          <w:t>tempi e costi per la redazione del dossier e del piano di gestione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5B3EC488" w14:textId="77777777" w:rsidR="00761BDA" w:rsidRPr="00761BDA" w:rsidRDefault="00761BDA" w:rsidP="00761BDA">
                        <w:pPr>
                          <w:spacing w:after="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120686B3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13/2023).</w:t>
                        </w:r>
                      </w:p>
                      <w:p w14:paraId="1F6A4D15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"Spesa finanziata dall'Unione Europea - NextGenerationEU - PNRR M2C1-I3.4 - [Titolo Progetto]"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3F38B5F6" w:rsidR="00411059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4C7E46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4C7E46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4C7E46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A157A" w14:textId="77777777" w:rsidR="004C7E46" w:rsidRDefault="004C7E46" w:rsidP="00F0581E">
      <w:pPr>
        <w:spacing w:after="0" w:line="240" w:lineRule="auto"/>
      </w:pPr>
      <w:r>
        <w:separator/>
      </w:r>
    </w:p>
  </w:endnote>
  <w:endnote w:type="continuationSeparator" w:id="0">
    <w:p w14:paraId="12795131" w14:textId="77777777" w:rsidR="004C7E46" w:rsidRDefault="004C7E46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26BF5BDD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761BDA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761BDA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877D" w14:textId="77777777" w:rsidR="004C7E46" w:rsidRDefault="004C7E46" w:rsidP="00F0581E">
      <w:pPr>
        <w:spacing w:after="0" w:line="240" w:lineRule="auto"/>
      </w:pPr>
      <w:r>
        <w:separator/>
      </w:r>
    </w:p>
  </w:footnote>
  <w:footnote w:type="continuationSeparator" w:id="0">
    <w:p w14:paraId="2332B672" w14:textId="77777777" w:rsidR="004C7E46" w:rsidRDefault="004C7E46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alt="Descrizione: iconCheck" style="width:112.5pt;height:112.5pt;visibility:visible" o:bullet="t">
        <v:imagedata r:id="rId1" o:title="iconCheck"/>
      </v:shape>
    </w:pict>
  </w:numPicBullet>
  <w:abstractNum w:abstractNumId="0" w15:restartNumberingAfterBreak="0">
    <w:nsid w:val="01B352F9"/>
    <w:multiLevelType w:val="multilevel"/>
    <w:tmpl w:val="CD6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283405"/>
    <w:multiLevelType w:val="multilevel"/>
    <w:tmpl w:val="D62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240BC"/>
    <w:multiLevelType w:val="multilevel"/>
    <w:tmpl w:val="5BC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FD7BAC"/>
    <w:multiLevelType w:val="multilevel"/>
    <w:tmpl w:val="852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4D26AB"/>
    <w:multiLevelType w:val="hybridMultilevel"/>
    <w:tmpl w:val="3D80C0FC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14"/>
  </w:num>
  <w:num w:numId="13">
    <w:abstractNumId w:val="16"/>
  </w:num>
  <w:num w:numId="14">
    <w:abstractNumId w:val="9"/>
  </w:num>
  <w:num w:numId="15">
    <w:abstractNumId w:val="12"/>
  </w:num>
  <w:num w:numId="16">
    <w:abstractNumId w:val="19"/>
  </w:num>
  <w:num w:numId="17">
    <w:abstractNumId w:val="10"/>
  </w:num>
  <w:num w:numId="18">
    <w:abstractNumId w:val="15"/>
  </w:num>
  <w:num w:numId="19">
    <w:abstractNumId w:val="0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C7E46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1BDA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1BF9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24D6D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9D5F-9F37-4BC5-9BE2-E44C77C0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2025-12-17T15:46:00Z</dcterms:created>
  <dcterms:modified xsi:type="dcterms:W3CDTF">2025-12-17T15:46:00Z</dcterms:modified>
</cp:coreProperties>
</file>